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8D7" w:rsidRDefault="008248D7">
      <w:r>
        <w:rPr>
          <w:noProof/>
          <w:lang w:eastAsia="en-GB"/>
        </w:rPr>
        <w:pict>
          <v:shapetype id="_x0000_t202" coordsize="21600,21600" o:spt="202" path="m,l,21600r21600,l21600,xe">
            <v:stroke joinstyle="miter"/>
            <v:path gradientshapeok="t" o:connecttype="rect"/>
          </v:shapetype>
          <v:shape id="_x0000_s1038" type="#_x0000_t202" style="position:absolute;margin-left:8.4pt;margin-top:-2.1pt;width:509.25pt;height:40.5pt;z-index:251658240" stroked="f">
            <v:textbox>
              <w:txbxContent>
                <w:p w:rsidR="008248D7" w:rsidRDefault="008248D7" w:rsidP="008248D7">
                  <w:pPr>
                    <w:jc w:val="center"/>
                  </w:pPr>
                  <w:r>
                    <w:t xml:space="preserve">“The Living Cosmos: from oak trees to the ‘Big Bang’”. </w:t>
                  </w:r>
                  <w:r>
                    <w:br/>
                    <w:t>Presentation at “</w:t>
                  </w:r>
                  <w:r w:rsidRPr="008248D7">
                    <w:t>Science and Spiritual Practice</w:t>
                  </w:r>
                  <w:r>
                    <w:t>”, Edinburgh</w:t>
                  </w:r>
                  <w:r w:rsidRPr="008248D7">
                    <w:t xml:space="preserve"> 14-15 June 2013</w:t>
                  </w:r>
                  <w:r>
                    <w:t>, by Chris Clarke</w:t>
                  </w:r>
                </w:p>
              </w:txbxContent>
            </v:textbox>
          </v:shape>
        </w:pict>
      </w:r>
    </w:p>
    <w:tbl>
      <w:tblPr>
        <w:tblpPr w:leftFromText="180" w:rightFromText="180" w:horzAnchor="margin" w:tblpY="780"/>
        <w:tblW w:w="0" w:type="auto"/>
        <w:tblLayout w:type="fixed"/>
        <w:tblLook w:val="0000"/>
      </w:tblPr>
      <w:tblGrid>
        <w:gridCol w:w="5778"/>
        <w:gridCol w:w="4962"/>
      </w:tblGrid>
      <w:tr w:rsidR="00987ADC" w:rsidTr="008248D7">
        <w:trPr>
          <w:trHeight w:val="4000"/>
        </w:trPr>
        <w:tc>
          <w:tcPr>
            <w:tcW w:w="5778" w:type="dxa"/>
          </w:tcPr>
          <w:p w:rsidR="00987ADC" w:rsidRDefault="00553AE4" w:rsidP="008248D7">
            <w:r>
              <w:object w:dxaOrig="7194"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07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432449513" r:id="rId8"/>
              </w:object>
            </w:r>
          </w:p>
        </w:tc>
        <w:tc>
          <w:tcPr>
            <w:tcW w:w="4962" w:type="dxa"/>
          </w:tcPr>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Addition to title – via quantum theory</w:t>
            </w: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Focus on spiritual practice – so start with my own</w:t>
            </w: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It’s not systematic or regular, but it still is a vital part of my life, and one that has grown with time. I find myself needing (or coming across) different spiritualities at different times</w:t>
            </w: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xml:space="preserve">  * I tend to start in the same way – relaxation followed by quieting –</w:t>
            </w: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xml:space="preserve"> * may use different ways of achieving this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Arial" w:hAnsi="Arial" w:cs="Arial"/>
                <w:sz w:val="24"/>
                <w:szCs w:val="24"/>
              </w:rPr>
            </w:pPr>
          </w:p>
          <w:p w:rsidR="00987ADC" w:rsidRDefault="00987ADC" w:rsidP="008248D7"/>
        </w:tc>
      </w:tr>
      <w:tr w:rsidR="00987ADC" w:rsidTr="008248D7">
        <w:trPr>
          <w:trHeight w:val="4000"/>
        </w:trPr>
        <w:tc>
          <w:tcPr>
            <w:tcW w:w="10740" w:type="dxa"/>
            <w:gridSpan w:val="2"/>
          </w:tcPr>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p>
          <w:p w:rsidR="00987ADC" w:rsidRDefault="00987ADC" w:rsidP="008248D7">
            <w:pPr>
              <w:autoSpaceDE w:val="0"/>
              <w:autoSpaceDN w:val="0"/>
              <w:adjustRightInd w:val="0"/>
              <w:spacing w:after="0" w:line="240" w:lineRule="auto"/>
              <w:ind w:left="360"/>
              <w:rPr>
                <w:rFonts w:ascii="Calibri" w:hAnsi="Calibri" w:cs="Calibri"/>
                <w:kern w:val="24"/>
                <w:sz w:val="24"/>
                <w:szCs w:val="24"/>
              </w:rPr>
            </w:pPr>
            <w:r>
              <w:rPr>
                <w:rFonts w:ascii="Calibri" w:hAnsi="Calibri" w:cs="Calibri"/>
                <w:kern w:val="24"/>
                <w:sz w:val="24"/>
                <w:szCs w:val="24"/>
              </w:rPr>
              <w:t xml:space="preserve">This can lead on to different strands, depending on what my inner needs are (not necessarily conscious). </w:t>
            </w:r>
          </w:p>
          <w:p w:rsidR="00045506"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xml:space="preserve">    * One is Listening</w:t>
            </w:r>
            <w:r w:rsidR="002C36AE">
              <w:rPr>
                <w:rFonts w:ascii="Calibri" w:hAnsi="Calibri" w:cs="Calibri"/>
                <w:kern w:val="24"/>
                <w:sz w:val="24"/>
                <w:szCs w:val="24"/>
              </w:rPr>
              <w:t xml:space="preserve"> – with the </w:t>
            </w:r>
            <w:r w:rsidR="00766B90">
              <w:rPr>
                <w:rFonts w:ascii="Calibri" w:hAnsi="Calibri" w:cs="Calibri"/>
                <w:kern w:val="24"/>
                <w:sz w:val="24"/>
                <w:szCs w:val="24"/>
              </w:rPr>
              <w:t>“inner ear” as well the outer</w:t>
            </w:r>
          </w:p>
          <w:p w:rsidR="00045506" w:rsidRPr="00045506" w:rsidRDefault="00045506" w:rsidP="008248D7">
            <w:pPr>
              <w:autoSpaceDE w:val="0"/>
              <w:autoSpaceDN w:val="0"/>
              <w:adjustRightInd w:val="0"/>
              <w:spacing w:after="0" w:line="240" w:lineRule="auto"/>
              <w:ind w:left="360" w:hanging="360"/>
              <w:rPr>
                <w:rFonts w:ascii="Calibri" w:hAnsi="Calibri" w:cs="Calibri"/>
                <w:b/>
                <w:i/>
                <w:kern w:val="24"/>
                <w:sz w:val="24"/>
                <w:szCs w:val="24"/>
              </w:rPr>
            </w:pPr>
            <w:r w:rsidRPr="00045506">
              <w:rPr>
                <w:rFonts w:ascii="Calibri" w:hAnsi="Calibri" w:cs="Calibri"/>
                <w:b/>
                <w:i/>
                <w:kern w:val="24"/>
                <w:sz w:val="24"/>
                <w:szCs w:val="24"/>
              </w:rPr>
              <w:t>NB Relationship</w:t>
            </w: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r>
              <w:rPr>
                <w:rFonts w:ascii="Calibri" w:hAnsi="Calibri" w:cs="Calibri"/>
                <w:kern w:val="24"/>
                <w:sz w:val="24"/>
                <w:szCs w:val="24"/>
              </w:rPr>
              <w:t>* (Questing and waiting) Meeting in our house next to Southampton Common.</w:t>
            </w:r>
            <w:r w:rsidR="003C181E">
              <w:rPr>
                <w:rFonts w:ascii="Calibri" w:hAnsi="Calibri" w:cs="Calibri"/>
                <w:kern w:val="24"/>
                <w:sz w:val="24"/>
                <w:szCs w:val="24"/>
              </w:rPr>
              <w:t xml:space="preserve">  * </w:t>
            </w:r>
            <w:r>
              <w:rPr>
                <w:rFonts w:ascii="Calibri" w:hAnsi="Calibri" w:cs="Calibri"/>
                <w:kern w:val="24"/>
                <w:sz w:val="24"/>
                <w:szCs w:val="24"/>
              </w:rPr>
              <w:t xml:space="preserve"> Deadlocked discussion. All went onto common to follow whither they were drawn, holding a particular question. Successful outcome. </w:t>
            </w:r>
          </w:p>
          <w:p w:rsidR="00987ADC" w:rsidRDefault="00766B90"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r w:rsidR="00987ADC">
              <w:rPr>
                <w:rFonts w:ascii="Calibri" w:hAnsi="Calibri" w:cs="Calibri"/>
                <w:kern w:val="24"/>
                <w:sz w:val="24"/>
                <w:szCs w:val="24"/>
              </w:rPr>
              <w:t>That could equally well be described in terms of the ambience ...</w:t>
            </w:r>
            <w:r>
              <w:rPr>
                <w:rFonts w:ascii="Calibri" w:hAnsi="Calibri" w:cs="Calibri"/>
                <w:kern w:val="24"/>
                <w:sz w:val="24"/>
                <w:szCs w:val="24"/>
              </w:rPr>
              <w:t>]</w:t>
            </w:r>
          </w:p>
          <w:p w:rsidR="003C181E" w:rsidRDefault="003C181E" w:rsidP="008248D7">
            <w:pPr>
              <w:autoSpaceDE w:val="0"/>
              <w:autoSpaceDN w:val="0"/>
              <w:adjustRightInd w:val="0"/>
              <w:spacing w:after="0" w:line="240" w:lineRule="auto"/>
              <w:rPr>
                <w:rFonts w:ascii="Calibri" w:hAnsi="Calibri" w:cs="Calibri"/>
                <w:kern w:val="24"/>
                <w:sz w:val="24"/>
                <w:szCs w:val="24"/>
              </w:rPr>
            </w:pPr>
          </w:p>
          <w:p w:rsidR="00766B90" w:rsidRDefault="00766B90"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could involve other senses</w:t>
            </w:r>
          </w:p>
          <w:p w:rsidR="003C181E" w:rsidRDefault="003C181E"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(Other senses) (Oak tree – bones – through </w:t>
            </w:r>
            <w:proofErr w:type="spellStart"/>
            <w:r>
              <w:rPr>
                <w:rFonts w:ascii="Calibri" w:hAnsi="Calibri" w:cs="Calibri"/>
                <w:kern w:val="24"/>
                <w:sz w:val="24"/>
                <w:szCs w:val="24"/>
              </w:rPr>
              <w:t>bodilly</w:t>
            </w:r>
            <w:proofErr w:type="spellEnd"/>
            <w:r>
              <w:rPr>
                <w:rFonts w:ascii="Calibri" w:hAnsi="Calibri" w:cs="Calibri"/>
                <w:kern w:val="24"/>
                <w:sz w:val="24"/>
                <w:szCs w:val="24"/>
              </w:rPr>
              <w:t xml:space="preserve"> sensation</w:t>
            </w:r>
          </w:p>
          <w:p w:rsidR="003C181E" w:rsidRDefault="003C181E"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the copse – being absorbed by the silent Being-for-itself of the </w:t>
            </w:r>
            <w:proofErr w:type="spellStart"/>
            <w:r>
              <w:rPr>
                <w:rFonts w:ascii="Calibri" w:hAnsi="Calibri" w:cs="Calibri"/>
                <w:kern w:val="24"/>
                <w:sz w:val="24"/>
                <w:szCs w:val="24"/>
              </w:rPr>
              <w:t>copse</w:t>
            </w:r>
            <w:proofErr w:type="spellEnd"/>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 deeper way is through silence. NOT holding a question; asking through silence and being answered through silence.</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(b) Opening. Internal journey –</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“how” of this: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Curiously, the way in (to oneself) is also the way out (to the most all embracing context)</w:t>
            </w:r>
          </w:p>
          <w:p w:rsidR="00987ADC" w:rsidRDefault="00987ADC" w:rsidP="008248D7">
            <w:pPr>
              <w:autoSpaceDE w:val="0"/>
              <w:autoSpaceDN w:val="0"/>
              <w:adjustRightInd w:val="0"/>
              <w:spacing w:after="0" w:line="240" w:lineRule="auto"/>
              <w:ind w:left="360" w:hanging="360"/>
              <w:rPr>
                <w:rFonts w:ascii="Calibri" w:hAnsi="Calibri" w:cs="Calibri"/>
                <w:kern w:val="24"/>
                <w:sz w:val="24"/>
                <w:szCs w:val="24"/>
              </w:rPr>
            </w:pPr>
          </w:p>
        </w:tc>
      </w:tr>
      <w:tr w:rsidR="00987ADC" w:rsidTr="008248D7">
        <w:trPr>
          <w:trHeight w:val="4000"/>
        </w:trPr>
        <w:tc>
          <w:tcPr>
            <w:tcW w:w="5778" w:type="dxa"/>
          </w:tcPr>
          <w:p w:rsidR="00987ADC" w:rsidRDefault="00553AE4" w:rsidP="008248D7">
            <w:r>
              <w:object w:dxaOrig="7194" w:dyaOrig="5395">
                <v:shape id="_x0000_i1026" type="#_x0000_t75" style="width:275.25pt;height:207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432449514" r:id="rId10"/>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on: way in = way out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Two quotations – first from Alan Wallace</w:t>
            </w:r>
          </w:p>
          <w:p w:rsidR="00987ADC" w:rsidRPr="003C181E" w:rsidRDefault="00987ADC" w:rsidP="008248D7">
            <w:pPr>
              <w:autoSpaceDE w:val="0"/>
              <w:autoSpaceDN w:val="0"/>
              <w:adjustRightInd w:val="0"/>
              <w:spacing w:after="0" w:line="240" w:lineRule="auto"/>
              <w:rPr>
                <w:rFonts w:ascii="Calibri" w:hAnsi="Calibri" w:cs="Calibri"/>
                <w:b/>
                <w:i/>
                <w:kern w:val="24"/>
                <w:sz w:val="24"/>
                <w:szCs w:val="24"/>
              </w:rPr>
            </w:pPr>
            <w:r>
              <w:rPr>
                <w:rFonts w:ascii="Calibri" w:hAnsi="Calibri" w:cs="Calibri"/>
                <w:kern w:val="24"/>
                <w:sz w:val="24"/>
                <w:szCs w:val="24"/>
              </w:rPr>
              <w:t xml:space="preserve"> *  What he describes (</w:t>
            </w:r>
            <w:proofErr w:type="spellStart"/>
            <w:r>
              <w:rPr>
                <w:rFonts w:ascii="Calibri" w:hAnsi="Calibri" w:cs="Calibri"/>
                <w:kern w:val="24"/>
                <w:sz w:val="24"/>
                <w:szCs w:val="24"/>
              </w:rPr>
              <w:t>ālaya</w:t>
            </w:r>
            <w:proofErr w:type="spellEnd"/>
            <w:r>
              <w:rPr>
                <w:rFonts w:ascii="Calibri" w:hAnsi="Calibri" w:cs="Calibri"/>
                <w:kern w:val="24"/>
                <w:sz w:val="24"/>
                <w:szCs w:val="24"/>
              </w:rPr>
              <w:t xml:space="preserve"> – analogous to Tibetan </w:t>
            </w:r>
            <w:proofErr w:type="spellStart"/>
            <w:r>
              <w:rPr>
                <w:rFonts w:ascii="Calibri" w:hAnsi="Calibri" w:cs="Calibri"/>
                <w:kern w:val="24"/>
                <w:sz w:val="24"/>
                <w:szCs w:val="24"/>
              </w:rPr>
              <w:t>rigpa</w:t>
            </w:r>
            <w:proofErr w:type="spellEnd"/>
            <w:r>
              <w:rPr>
                <w:rFonts w:ascii="Calibri" w:hAnsi="Calibri" w:cs="Calibri"/>
                <w:kern w:val="24"/>
                <w:sz w:val="24"/>
                <w:szCs w:val="24"/>
              </w:rPr>
              <w:t xml:space="preserve">) Alan Wallace is not just describing a special subjective way of perceive, </w:t>
            </w:r>
            <w:r w:rsidRPr="003C181E">
              <w:rPr>
                <w:rFonts w:ascii="Calibri" w:hAnsi="Calibri" w:cs="Calibri"/>
                <w:b/>
                <w:i/>
                <w:kern w:val="24"/>
                <w:sz w:val="24"/>
                <w:szCs w:val="24"/>
              </w:rPr>
              <w:t xml:space="preserve">but a non-dual state in which the perceiver and the perceived are the same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  - (there is no distinct .... Separation) going into the depths of the self is the same of going into the breadth of the cosmos. Recognising that “tat </w:t>
            </w:r>
            <w:proofErr w:type="spellStart"/>
            <w:r>
              <w:rPr>
                <w:rFonts w:ascii="Calibri" w:hAnsi="Calibri" w:cs="Calibri"/>
                <w:kern w:val="24"/>
                <w:sz w:val="24"/>
                <w:szCs w:val="24"/>
              </w:rPr>
              <w:t>tvam</w:t>
            </w:r>
            <w:proofErr w:type="spellEnd"/>
            <w:r>
              <w:rPr>
                <w:rFonts w:ascii="Calibri" w:hAnsi="Calibri" w:cs="Calibri"/>
                <w:kern w:val="24"/>
                <w:sz w:val="24"/>
                <w:szCs w:val="24"/>
              </w:rPr>
              <w:t xml:space="preserve"> </w:t>
            </w:r>
            <w:proofErr w:type="spellStart"/>
            <w:r>
              <w:rPr>
                <w:rFonts w:ascii="Calibri" w:hAnsi="Calibri" w:cs="Calibri"/>
                <w:kern w:val="24"/>
                <w:sz w:val="24"/>
                <w:szCs w:val="24"/>
              </w:rPr>
              <w:t>asi</w:t>
            </w:r>
            <w:proofErr w:type="spellEnd"/>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Arial" w:hAnsi="Arial" w:cs="Arial"/>
                <w:sz w:val="24"/>
                <w:szCs w:val="24"/>
              </w:rPr>
            </w:pPr>
          </w:p>
          <w:p w:rsidR="00987ADC" w:rsidRDefault="00987ADC" w:rsidP="008248D7"/>
        </w:tc>
      </w:tr>
      <w:tr w:rsidR="00987ADC" w:rsidTr="008248D7">
        <w:trPr>
          <w:trHeight w:val="1985"/>
        </w:trPr>
        <w:tc>
          <w:tcPr>
            <w:tcW w:w="10740" w:type="dxa"/>
            <w:gridSpan w:val="2"/>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Meister Eckhart * expressed the same thing in Christian terminology</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Here it’s worth noting that, although in one sense he is talking about (traditionally </w:t>
            </w:r>
            <w:proofErr w:type="spellStart"/>
            <w:r>
              <w:rPr>
                <w:rFonts w:ascii="Calibri" w:hAnsi="Calibri" w:cs="Calibri"/>
                <w:kern w:val="24"/>
                <w:sz w:val="24"/>
                <w:szCs w:val="24"/>
              </w:rPr>
              <w:t>Philokalia</w:t>
            </w:r>
            <w:proofErr w:type="spellEnd"/>
            <w:r>
              <w:rPr>
                <w:rFonts w:ascii="Calibri" w:hAnsi="Calibri" w:cs="Calibri"/>
                <w:kern w:val="24"/>
                <w:sz w:val="24"/>
                <w:szCs w:val="24"/>
              </w:rPr>
              <w:t xml:space="preserve">)  “the beatific vision” – but there are innumerable steps  on Jacob’s ladder before that. </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 believe that there are foretastes, which gives the temerity to cite this myself. </w:t>
            </w:r>
          </w:p>
          <w:p w:rsidR="00987ADC" w:rsidRDefault="00987ADC" w:rsidP="008248D7">
            <w:pPr>
              <w:autoSpaceDE w:val="0"/>
              <w:autoSpaceDN w:val="0"/>
              <w:adjustRightInd w:val="0"/>
              <w:spacing w:after="0" w:line="240" w:lineRule="auto"/>
              <w:rPr>
                <w:rFonts w:ascii="Calibri" w:hAnsi="Calibri" w:cs="Calibri"/>
                <w:kern w:val="24"/>
                <w:sz w:val="24"/>
                <w:szCs w:val="24"/>
              </w:rPr>
            </w:pPr>
          </w:p>
        </w:tc>
      </w:tr>
      <w:tr w:rsidR="00987ADC" w:rsidTr="008248D7">
        <w:trPr>
          <w:trHeight w:val="4000"/>
        </w:trPr>
        <w:tc>
          <w:tcPr>
            <w:tcW w:w="5778" w:type="dxa"/>
          </w:tcPr>
          <w:p w:rsidR="00987ADC" w:rsidRDefault="00AF3BD2" w:rsidP="008248D7">
            <w:r>
              <w:object w:dxaOrig="7194" w:dyaOrig="5395">
                <v:shape id="_x0000_i1027" type="#_x0000_t75" style="width:280.5pt;height:210.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432449515" r:id="rId12"/>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 return to my own history – how does science fit into this?</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EPs – bringing </w:t>
            </w:r>
            <w:proofErr w:type="spellStart"/>
            <w:r>
              <w:rPr>
                <w:rFonts w:ascii="Calibri" w:hAnsi="Calibri" w:cs="Calibri"/>
                <w:kern w:val="24"/>
                <w:sz w:val="24"/>
                <w:szCs w:val="24"/>
              </w:rPr>
              <w:t>Sci</w:t>
            </w:r>
            <w:proofErr w:type="spellEnd"/>
            <w:r>
              <w:rPr>
                <w:rFonts w:ascii="Calibri" w:hAnsi="Calibri" w:cs="Calibri"/>
                <w:kern w:val="24"/>
                <w:sz w:val="24"/>
                <w:szCs w:val="24"/>
              </w:rPr>
              <w:t xml:space="preserve"> &amp; </w:t>
            </w:r>
            <w:proofErr w:type="spellStart"/>
            <w:r>
              <w:rPr>
                <w:rFonts w:ascii="Calibri" w:hAnsi="Calibri" w:cs="Calibri"/>
                <w:kern w:val="24"/>
                <w:sz w:val="24"/>
                <w:szCs w:val="24"/>
              </w:rPr>
              <w:t>Spi</w:t>
            </w:r>
            <w:proofErr w:type="spellEnd"/>
            <w:r>
              <w:rPr>
                <w:rFonts w:ascii="Calibri" w:hAnsi="Calibri" w:cs="Calibri"/>
                <w:kern w:val="24"/>
                <w:sz w:val="24"/>
                <w:szCs w:val="24"/>
              </w:rPr>
              <w:t xml:space="preserve">  together . Spiritual practice was in part meditation, in part liturgy</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color w:val="012D10"/>
                <w:kern w:val="24"/>
                <w:sz w:val="24"/>
                <w:szCs w:val="24"/>
              </w:rPr>
            </w:pPr>
            <w:r>
              <w:rPr>
                <w:rFonts w:ascii="Calibri" w:hAnsi="Calibri" w:cs="Calibri"/>
                <w:color w:val="012D10"/>
                <w:kern w:val="24"/>
                <w:sz w:val="24"/>
                <w:szCs w:val="24"/>
              </w:rPr>
              <w:t>* How could one experimentally verify whether the mass had worked?</w:t>
            </w:r>
          </w:p>
          <w:p w:rsidR="00987ADC" w:rsidRDefault="00987ADC" w:rsidP="008248D7">
            <w:pPr>
              <w:autoSpaceDE w:val="0"/>
              <w:autoSpaceDN w:val="0"/>
              <w:adjustRightInd w:val="0"/>
              <w:spacing w:after="0" w:line="240" w:lineRule="auto"/>
              <w:rPr>
                <w:rFonts w:ascii="Calibri" w:hAnsi="Calibri" w:cs="Calibri"/>
                <w:color w:val="012D10"/>
                <w:kern w:val="24"/>
                <w:sz w:val="24"/>
                <w:szCs w:val="24"/>
              </w:rPr>
            </w:pPr>
          </w:p>
          <w:p w:rsidR="00987ADC" w:rsidRPr="00987ADC" w:rsidRDefault="00987ADC" w:rsidP="008248D7">
            <w:pPr>
              <w:autoSpaceDE w:val="0"/>
              <w:autoSpaceDN w:val="0"/>
              <w:adjustRightInd w:val="0"/>
              <w:spacing w:after="0" w:line="240" w:lineRule="auto"/>
              <w:rPr>
                <w:rFonts w:ascii="Calibri" w:hAnsi="Calibri" w:cs="Calibri"/>
                <w:color w:val="012D10"/>
                <w:kern w:val="24"/>
                <w:sz w:val="24"/>
                <w:szCs w:val="24"/>
              </w:rPr>
            </w:pPr>
            <w:r>
              <w:rPr>
                <w:rFonts w:ascii="Calibri" w:hAnsi="Calibri" w:cs="Calibri"/>
                <w:color w:val="012D10"/>
                <w:kern w:val="24"/>
                <w:sz w:val="24"/>
                <w:szCs w:val="24"/>
              </w:rPr>
              <w:t>One could regard this question as merely absurd – as a crass categorical error, like “Looking for verbs in the refrigerator”  (to quote another phrase I heard in connection with them)</w:t>
            </w:r>
          </w:p>
        </w:tc>
      </w:tr>
      <w:tr w:rsidR="00987ADC" w:rsidTr="008248D7">
        <w:trPr>
          <w:trHeight w:val="2356"/>
        </w:trPr>
        <w:tc>
          <w:tcPr>
            <w:tcW w:w="10740" w:type="dxa"/>
            <w:gridSpan w:val="2"/>
          </w:tcPr>
          <w:p w:rsidR="00987ADC" w:rsidRDefault="00987ADC" w:rsidP="008248D7">
            <w:pPr>
              <w:autoSpaceDE w:val="0"/>
              <w:autoSpaceDN w:val="0"/>
              <w:adjustRightInd w:val="0"/>
              <w:spacing w:after="0" w:line="240" w:lineRule="auto"/>
              <w:rPr>
                <w:rFonts w:ascii="Calibri" w:hAnsi="Calibri" w:cs="Calibri"/>
                <w:color w:val="012D10"/>
                <w:kern w:val="24"/>
                <w:sz w:val="24"/>
                <w:szCs w:val="24"/>
              </w:rPr>
            </w:pPr>
            <w:r>
              <w:rPr>
                <w:rFonts w:ascii="Calibri" w:hAnsi="Calibri" w:cs="Calibri"/>
                <w:color w:val="012D10"/>
                <w:kern w:val="24"/>
                <w:sz w:val="24"/>
                <w:szCs w:val="24"/>
              </w:rPr>
              <w:t xml:space="preserve">But actually is was a profoundly creative move (a sort of </w:t>
            </w:r>
            <w:proofErr w:type="spellStart"/>
            <w:r>
              <w:rPr>
                <w:rFonts w:ascii="Calibri" w:hAnsi="Calibri" w:cs="Calibri"/>
                <w:color w:val="012D10"/>
                <w:kern w:val="24"/>
                <w:sz w:val="24"/>
                <w:szCs w:val="24"/>
              </w:rPr>
              <w:t>Koan</w:t>
            </w:r>
            <w:proofErr w:type="spellEnd"/>
            <w:r>
              <w:rPr>
                <w:rFonts w:ascii="Calibri" w:hAnsi="Calibri" w:cs="Calibri"/>
                <w:color w:val="012D10"/>
                <w:kern w:val="24"/>
                <w:sz w:val="24"/>
                <w:szCs w:val="24"/>
              </w:rPr>
              <w:t xml:space="preserve">): starting from the idea that at least </w:t>
            </w:r>
            <w:r>
              <w:rPr>
                <w:rFonts w:ascii="Calibri" w:hAnsi="Calibri" w:cs="Calibri"/>
                <w:i/>
                <w:iCs/>
                <w:color w:val="012D10"/>
                <w:kern w:val="24"/>
                <w:sz w:val="24"/>
                <w:szCs w:val="24"/>
              </w:rPr>
              <w:t xml:space="preserve">some </w:t>
            </w:r>
            <w:r>
              <w:rPr>
                <w:rFonts w:ascii="Calibri" w:hAnsi="Calibri" w:cs="Calibri"/>
                <w:color w:val="012D10"/>
                <w:kern w:val="24"/>
                <w:sz w:val="24"/>
                <w:szCs w:val="24"/>
              </w:rPr>
              <w:t xml:space="preserve">spiritual practices could interface in some way with some aspects of science – where would you draw the line? And what exactly is it that makes one thing that makes the questions “How could ...”  beyond the pale?  </w:t>
            </w:r>
          </w:p>
          <w:p w:rsidR="00987ADC" w:rsidRDefault="00987ADC" w:rsidP="008248D7">
            <w:pPr>
              <w:autoSpaceDE w:val="0"/>
              <w:autoSpaceDN w:val="0"/>
              <w:adjustRightInd w:val="0"/>
              <w:spacing w:after="0" w:line="240" w:lineRule="auto"/>
              <w:rPr>
                <w:rFonts w:ascii="Calibri" w:hAnsi="Calibri" w:cs="Calibri"/>
                <w:color w:val="012D10"/>
                <w:kern w:val="24"/>
                <w:sz w:val="24"/>
                <w:szCs w:val="24"/>
              </w:rPr>
            </w:pPr>
          </w:p>
          <w:p w:rsidR="00987ADC" w:rsidRDefault="00987ADC" w:rsidP="008248D7">
            <w:pPr>
              <w:autoSpaceDE w:val="0"/>
              <w:autoSpaceDN w:val="0"/>
              <w:adjustRightInd w:val="0"/>
              <w:spacing w:after="0" w:line="240" w:lineRule="auto"/>
              <w:rPr>
                <w:rFonts w:ascii="Calibri" w:hAnsi="Calibri" w:cs="Calibri"/>
                <w:color w:val="012D10"/>
                <w:kern w:val="24"/>
                <w:sz w:val="24"/>
                <w:szCs w:val="24"/>
              </w:rPr>
            </w:pPr>
            <w:r>
              <w:rPr>
                <w:rFonts w:ascii="Calibri" w:hAnsi="Calibri" w:cs="Calibri"/>
                <w:color w:val="012D10"/>
                <w:kern w:val="24"/>
                <w:sz w:val="24"/>
                <w:szCs w:val="24"/>
              </w:rPr>
              <w:t xml:space="preserve"> * (The real problem ...)   (WOK to be discussed shortly)  </w:t>
            </w:r>
          </w:p>
          <w:p w:rsidR="00987ADC" w:rsidRDefault="00987ADC" w:rsidP="008248D7">
            <w:pPr>
              <w:autoSpaceDE w:val="0"/>
              <w:autoSpaceDN w:val="0"/>
              <w:adjustRightInd w:val="0"/>
              <w:spacing w:after="0" w:line="240" w:lineRule="auto"/>
              <w:rPr>
                <w:rFonts w:ascii="Calibri" w:hAnsi="Calibri" w:cs="Calibri"/>
                <w:color w:val="012D10"/>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color w:val="012D10"/>
                <w:kern w:val="24"/>
                <w:sz w:val="24"/>
                <w:szCs w:val="24"/>
              </w:rPr>
              <w:t>*   (Main obstacle</w:t>
            </w:r>
          </w:p>
        </w:tc>
      </w:tr>
      <w:tr w:rsidR="00987ADC" w:rsidTr="008248D7">
        <w:trPr>
          <w:trHeight w:val="4000"/>
        </w:trPr>
        <w:tc>
          <w:tcPr>
            <w:tcW w:w="5778" w:type="dxa"/>
          </w:tcPr>
          <w:p w:rsidR="00987ADC" w:rsidRDefault="00AF3BD2" w:rsidP="008248D7">
            <w:r>
              <w:object w:dxaOrig="7194" w:dyaOrig="5395">
                <v:shape id="_x0000_i1028" type="#_x0000_t75" style="width:278.25pt;height:208.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432449516" r:id="rId14"/>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So what do I mean by “ways of knowing”?</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We are </w:t>
            </w:r>
            <w:r>
              <w:rPr>
                <w:rFonts w:ascii="Calibri" w:hAnsi="Calibri" w:cs="Calibri"/>
                <w:b/>
                <w:bCs/>
                <w:kern w:val="24"/>
                <w:sz w:val="24"/>
                <w:szCs w:val="24"/>
                <w:lang w:val="en-US"/>
              </w:rPr>
              <w:t>constructed</w:t>
            </w:r>
            <w:r>
              <w:rPr>
                <w:rFonts w:ascii="Calibri" w:hAnsi="Calibri" w:cs="Calibri"/>
                <w:kern w:val="24"/>
                <w:sz w:val="24"/>
                <w:szCs w:val="24"/>
                <w:lang w:val="en-US"/>
              </w:rPr>
              <w:t xml:space="preserve"> (through evolution) so as to have two distinct main ways of knowing, based on two main subsystems of the brain / mind</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SMN will know these through </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*Iain </w:t>
            </w:r>
            <w:proofErr w:type="spellStart"/>
            <w:r>
              <w:rPr>
                <w:rFonts w:ascii="Calibri" w:hAnsi="Calibri" w:cs="Calibri"/>
                <w:kern w:val="24"/>
                <w:sz w:val="24"/>
                <w:szCs w:val="24"/>
                <w:lang w:val="en-US"/>
              </w:rPr>
              <w:t>McGilchrist</w:t>
            </w:r>
            <w:proofErr w:type="spellEnd"/>
          </w:p>
          <w:p w:rsidR="00987ADC" w:rsidRDefault="00987ADC" w:rsidP="008248D7">
            <w:pPr>
              <w:autoSpaceDE w:val="0"/>
              <w:autoSpaceDN w:val="0"/>
              <w:adjustRightInd w:val="0"/>
              <w:spacing w:after="0" w:line="240" w:lineRule="auto"/>
              <w:rPr>
                <w:rFonts w:ascii="Calibri" w:hAnsi="Calibri" w:cs="Calibri"/>
                <w:kern w:val="24"/>
                <w:sz w:val="24"/>
                <w:szCs w:val="24"/>
                <w:lang w:val="en-US"/>
              </w:rPr>
            </w:pP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But I will use the terminology of the similar</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a </w:t>
            </w:r>
            <w:r>
              <w:rPr>
                <w:rFonts w:ascii="Calibri" w:hAnsi="Calibri" w:cs="Calibri"/>
                <w:kern w:val="24"/>
                <w:sz w:val="28"/>
                <w:szCs w:val="28"/>
                <w:lang w:val="en-US"/>
              </w:rPr>
              <w:t>diagram</w:t>
            </w:r>
            <w:r>
              <w:rPr>
                <w:rFonts w:ascii="Calibri" w:hAnsi="Calibri" w:cs="Calibri"/>
                <w:kern w:val="24"/>
                <w:sz w:val="24"/>
                <w:szCs w:val="24"/>
                <w:lang w:val="en-US"/>
              </w:rPr>
              <w:t xml:space="preserve"> of some of the processing subsystems in the brain, according to Teasdale and Barnard - based on research on cognitive processing. .   </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p>
          <w:p w:rsidR="00987ADC" w:rsidRDefault="00987ADC" w:rsidP="008248D7">
            <w:pPr>
              <w:autoSpaceDE w:val="0"/>
              <w:autoSpaceDN w:val="0"/>
              <w:adjustRightInd w:val="0"/>
              <w:spacing w:after="0" w:line="240" w:lineRule="auto"/>
              <w:rPr>
                <w:rFonts w:ascii="Arial" w:hAnsi="Arial" w:cs="Arial"/>
                <w:sz w:val="24"/>
                <w:szCs w:val="24"/>
              </w:rPr>
            </w:pPr>
          </w:p>
          <w:p w:rsidR="00987ADC" w:rsidRDefault="00987ADC" w:rsidP="008248D7"/>
        </w:tc>
      </w:tr>
      <w:tr w:rsidR="00987ADC" w:rsidTr="008248D7">
        <w:trPr>
          <w:trHeight w:val="3254"/>
        </w:trPr>
        <w:tc>
          <w:tcPr>
            <w:tcW w:w="10740" w:type="dxa"/>
            <w:gridSpan w:val="2"/>
          </w:tcPr>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 xml:space="preserve">I am going to concentrate on the two large ones here -  p and r.  </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p = verbal based logical reasoning - with a verbally coded memory store.</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r= holistic, overall meaning processing.  Direct connections with sense modalities (in contrast to p) and a memory store coded in every sensory modality - vivid and immediate.  The connection with emotional response made possible by the direct connection with state of bodily arousal.</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For complete processing, you need both working in close communication.  Because the systems are distinct, it is possible for this communication to become overloaded or skewed in some way.</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r>
              <w:rPr>
                <w:rFonts w:ascii="Calibri" w:hAnsi="Calibri" w:cs="Calibri"/>
                <w:kern w:val="24"/>
                <w:sz w:val="24"/>
                <w:szCs w:val="24"/>
                <w:lang w:val="en-US"/>
              </w:rPr>
              <w:t>This helps to explain a lot of what goes wrong for human beings.</w:t>
            </w:r>
          </w:p>
          <w:p w:rsidR="00987ADC" w:rsidRDefault="00987ADC" w:rsidP="008248D7">
            <w:pPr>
              <w:autoSpaceDE w:val="0"/>
              <w:autoSpaceDN w:val="0"/>
              <w:adjustRightInd w:val="0"/>
              <w:spacing w:after="0" w:line="240" w:lineRule="auto"/>
              <w:rPr>
                <w:rFonts w:ascii="Calibri" w:hAnsi="Calibri" w:cs="Calibri"/>
                <w:kern w:val="24"/>
                <w:sz w:val="24"/>
                <w:szCs w:val="24"/>
                <w:lang w:val="en-US"/>
              </w:rPr>
            </w:pPr>
          </w:p>
        </w:tc>
      </w:tr>
      <w:tr w:rsidR="00987ADC" w:rsidTr="008248D7">
        <w:trPr>
          <w:trHeight w:val="4000"/>
        </w:trPr>
        <w:tc>
          <w:tcPr>
            <w:tcW w:w="5778" w:type="dxa"/>
          </w:tcPr>
          <w:p w:rsidR="00987ADC" w:rsidRDefault="00AF3BD2" w:rsidP="008248D7">
            <w:r>
              <w:object w:dxaOrig="7194" w:dyaOrig="5395">
                <v:shape id="_x0000_i1029" type="#_x0000_t75" style="width:279pt;height:209.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432449517" r:id="rId16"/>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How do we use this insight to enable science and spirituality to engage appropriately with each other?</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i/>
                <w:iCs/>
                <w:kern w:val="24"/>
                <w:sz w:val="24"/>
                <w:szCs w:val="24"/>
              </w:rPr>
            </w:pPr>
            <w:r>
              <w:rPr>
                <w:rFonts w:ascii="Calibri" w:hAnsi="Calibri" w:cs="Calibri"/>
                <w:kern w:val="24"/>
                <w:sz w:val="24"/>
                <w:szCs w:val="24"/>
              </w:rPr>
              <w:t xml:space="preserve">*The basic problem is the </w:t>
            </w:r>
            <w:r>
              <w:rPr>
                <w:rFonts w:ascii="Calibri" w:hAnsi="Calibri" w:cs="Calibri"/>
                <w:i/>
                <w:iCs/>
                <w:kern w:val="24"/>
                <w:sz w:val="24"/>
                <w:szCs w:val="24"/>
              </w:rPr>
              <w:t>incommensurability of the propositional and the implicational</w:t>
            </w:r>
          </w:p>
          <w:p w:rsidR="00987ADC" w:rsidRDefault="00987ADC" w:rsidP="008248D7">
            <w:pPr>
              <w:autoSpaceDE w:val="0"/>
              <w:autoSpaceDN w:val="0"/>
              <w:adjustRightInd w:val="0"/>
              <w:spacing w:after="0" w:line="240" w:lineRule="auto"/>
              <w:rPr>
                <w:rFonts w:ascii="Calibri" w:hAnsi="Calibri" w:cs="Calibri"/>
                <w:i/>
                <w:iCs/>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i/>
                <w:iCs/>
                <w:kern w:val="24"/>
                <w:sz w:val="24"/>
                <w:szCs w:val="24"/>
              </w:rPr>
              <w:t xml:space="preserve">* </w:t>
            </w:r>
            <w:r>
              <w:rPr>
                <w:rFonts w:ascii="Calibri" w:hAnsi="Calibri" w:cs="Calibri"/>
                <w:kern w:val="24"/>
                <w:sz w:val="24"/>
                <w:szCs w:val="24"/>
              </w:rPr>
              <w:t>The way round is through modelling</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The result is the emergence of alternative logics</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 so where are we to start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P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 consciousness</w:t>
            </w:r>
          </w:p>
          <w:p w:rsidR="00987ADC" w:rsidRDefault="00987ADC" w:rsidP="008248D7"/>
        </w:tc>
      </w:tr>
      <w:tr w:rsidR="00987ADC" w:rsidTr="008248D7">
        <w:trPr>
          <w:trHeight w:val="4000"/>
        </w:trPr>
        <w:tc>
          <w:tcPr>
            <w:tcW w:w="5778" w:type="dxa"/>
          </w:tcPr>
          <w:p w:rsidR="00987ADC" w:rsidRDefault="00AF3BD2" w:rsidP="008248D7">
            <w:r>
              <w:object w:dxaOrig="7194" w:dyaOrig="5395">
                <v:shape id="_x0000_i1030" type="#_x0000_t75" style="width:279pt;height:209.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432449518" r:id="rId18"/>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How not to do it: by</w:t>
            </w:r>
            <w:r w:rsidR="000E61E4">
              <w:rPr>
                <w:rFonts w:ascii="Calibri" w:hAnsi="Calibri" w:cs="Calibri"/>
                <w:kern w:val="24"/>
                <w:sz w:val="24"/>
                <w:szCs w:val="24"/>
              </w:rPr>
              <w:t xml:space="preserve"> defining conc. in such a way as to deny</w:t>
            </w:r>
            <w:r>
              <w:rPr>
                <w:rFonts w:ascii="Calibri" w:hAnsi="Calibri" w:cs="Calibri"/>
                <w:kern w:val="24"/>
                <w:sz w:val="24"/>
                <w:szCs w:val="24"/>
              </w:rPr>
              <w:t xml:space="preserve"> the existence of any way of knowing</w:t>
            </w:r>
            <w:r w:rsidR="000E61E4">
              <w:rPr>
                <w:rFonts w:ascii="Calibri" w:hAnsi="Calibri" w:cs="Calibri"/>
                <w:kern w:val="24"/>
                <w:sz w:val="24"/>
                <w:szCs w:val="24"/>
              </w:rPr>
              <w:t xml:space="preserve"> other than the propositional</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Adopting the viewpoint of cog subsystems suggests consciousness as involving </w:t>
            </w:r>
            <w:r>
              <w:rPr>
                <w:rFonts w:ascii="Calibri" w:hAnsi="Calibri" w:cs="Calibri"/>
                <w:b/>
                <w:bCs/>
                <w:kern w:val="24"/>
                <w:sz w:val="24"/>
                <w:szCs w:val="24"/>
              </w:rPr>
              <w:t xml:space="preserve">being , </w:t>
            </w:r>
            <w:r>
              <w:rPr>
                <w:rFonts w:ascii="Calibri" w:hAnsi="Calibri" w:cs="Calibri"/>
                <w:kern w:val="24"/>
                <w:sz w:val="24"/>
                <w:szCs w:val="24"/>
              </w:rPr>
              <w:t>and most strongly linked to the relational side, while physics involves the propositional, in a complementary manner</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 will concentrate here on one particular – and controversial - strand of thought which uses quantum physics to make a link between physics and consciousness </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 what is the idea, in more detail ... ?</w:t>
            </w:r>
          </w:p>
          <w:p w:rsidR="00987ADC" w:rsidRDefault="00987ADC" w:rsidP="008248D7"/>
        </w:tc>
      </w:tr>
      <w:tr w:rsidR="00987ADC" w:rsidTr="008248D7">
        <w:trPr>
          <w:trHeight w:val="4529"/>
        </w:trPr>
        <w:tc>
          <w:tcPr>
            <w:tcW w:w="5778" w:type="dxa"/>
          </w:tcPr>
          <w:p w:rsidR="00987ADC" w:rsidRDefault="00AF3BD2" w:rsidP="008248D7">
            <w:r>
              <w:object w:dxaOrig="7194" w:dyaOrig="5395">
                <v:shape id="_x0000_i1031" type="#_x0000_t75" style="width:282pt;height:212.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432449519" r:id="rId20"/>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sort of physics that L &amp; B were talking about involved experiments like this one depicted here ...</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left to run, build up an “interference pattern” indicating some sort of wave process involved in the passage of the particles. The photographic film constitutes an “observation”, and it will be subsequently examined by a human </w:t>
            </w:r>
            <w:r>
              <w:rPr>
                <w:rFonts w:ascii="Calibri" w:hAnsi="Calibri" w:cs="Calibri"/>
                <w:b/>
                <w:bCs/>
                <w:kern w:val="24"/>
                <w:sz w:val="24"/>
                <w:szCs w:val="24"/>
              </w:rPr>
              <w:t>observer</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On the other hand one could have an observer who was examining what was going on particle-by particle,</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pPr>
          </w:p>
        </w:tc>
      </w:tr>
      <w:tr w:rsidR="00987ADC" w:rsidTr="008248D7">
        <w:trPr>
          <w:trHeight w:val="1449"/>
        </w:trPr>
        <w:tc>
          <w:tcPr>
            <w:tcW w:w="10740" w:type="dxa"/>
            <w:gridSpan w:val="2"/>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and in particular examines which slit each particle goes through. The</w:t>
            </w:r>
            <w:r w:rsidR="00A47C51">
              <w:rPr>
                <w:rFonts w:ascii="Calibri" w:hAnsi="Calibri" w:cs="Calibri"/>
                <w:kern w:val="24"/>
                <w:sz w:val="24"/>
                <w:szCs w:val="24"/>
              </w:rPr>
              <w:t>n</w:t>
            </w:r>
            <w:r>
              <w:rPr>
                <w:rFonts w:ascii="Calibri" w:hAnsi="Calibri" w:cs="Calibri"/>
                <w:kern w:val="24"/>
                <w:sz w:val="24"/>
                <w:szCs w:val="24"/>
              </w:rPr>
              <w:t xml:space="preserve"> there is no interference: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Pr="00796CB0" w:rsidRDefault="00987ADC" w:rsidP="008248D7">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Discussion by L &amp; B –</w:t>
            </w:r>
          </w:p>
        </w:tc>
      </w:tr>
      <w:tr w:rsidR="00987ADC" w:rsidTr="008248D7">
        <w:trPr>
          <w:trHeight w:val="4000"/>
        </w:trPr>
        <w:tc>
          <w:tcPr>
            <w:tcW w:w="5778" w:type="dxa"/>
          </w:tcPr>
          <w:p w:rsidR="00987ADC" w:rsidRDefault="00AF3BD2" w:rsidP="008248D7">
            <w:r>
              <w:object w:dxaOrig="7194" w:dyaOrig="5395">
                <v:shape id="_x0000_i1032" type="#_x0000_t75" style="width:279pt;height:209.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432449520" r:id="rId22"/>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London and Bauer’s pamphlet</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Observation</w:t>
            </w:r>
          </w:p>
          <w:p w:rsidR="0089781B" w:rsidRDefault="0089781B" w:rsidP="008248D7">
            <w:pPr>
              <w:autoSpaceDE w:val="0"/>
              <w:autoSpaceDN w:val="0"/>
              <w:adjustRightInd w:val="0"/>
              <w:spacing w:after="0" w:line="240" w:lineRule="auto"/>
              <w:rPr>
                <w:rFonts w:ascii="Calibri" w:hAnsi="Calibri" w:cs="Calibri"/>
                <w:b/>
                <w:bCs/>
                <w:kern w:val="24"/>
                <w:sz w:val="24"/>
                <w:szCs w:val="24"/>
              </w:rPr>
            </w:pPr>
            <w:r>
              <w:rPr>
                <w:rFonts w:ascii="Calibri" w:hAnsi="Calibri" w:cs="Calibri"/>
                <w:kern w:val="24"/>
                <w:sz w:val="24"/>
                <w:szCs w:val="24"/>
              </w:rPr>
              <w:t xml:space="preserve">note terminology of observer and     </w:t>
            </w:r>
            <w:r>
              <w:rPr>
                <w:rFonts w:ascii="Calibri" w:hAnsi="Calibri" w:cs="Calibri"/>
                <w:b/>
                <w:bCs/>
                <w:kern w:val="24"/>
                <w:sz w:val="24"/>
                <w:szCs w:val="24"/>
              </w:rPr>
              <w:t>“pointer”</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But ??knowledge?? (propositional)</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Choose – yes, but how – what does it mean? (later – asserting a context)</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89781B" w:rsidRDefault="0089781B" w:rsidP="008248D7">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Mixture </w:t>
            </w:r>
            <w:r>
              <w:rPr>
                <w:rFonts w:ascii="Calibri" w:hAnsi="Calibri" w:cs="Calibri"/>
                <w:kern w:val="24"/>
                <w:sz w:val="24"/>
                <w:szCs w:val="24"/>
              </w:rPr>
              <w:t>– von Neumann’s idea that the apparatus does not single out a particular outcome, but produces a “mixture” of different possibilities. A further process is required to obtain a particular outcome – according to L &amp; B, the observer</w:t>
            </w:r>
          </w:p>
          <w:p w:rsidR="0089781B" w:rsidRDefault="0089781B"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“New wave function” – changing the final outcome implicates the previous events</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leading up to it- an aspect of entanglement.</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P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Recognition – but what is “consciousness” – in what sense?</w:t>
            </w:r>
          </w:p>
          <w:p w:rsidR="00987ADC" w:rsidRDefault="00987ADC" w:rsidP="008248D7"/>
        </w:tc>
      </w:tr>
      <w:tr w:rsidR="00987ADC" w:rsidTr="008248D7">
        <w:trPr>
          <w:trHeight w:val="4000"/>
        </w:trPr>
        <w:tc>
          <w:tcPr>
            <w:tcW w:w="5778" w:type="dxa"/>
          </w:tcPr>
          <w:p w:rsidR="00987ADC" w:rsidRDefault="00AF3BD2" w:rsidP="008248D7">
            <w:r>
              <w:object w:dxaOrig="7194" w:dyaOrig="5395">
                <v:shape id="_x0000_i1033" type="#_x0000_t75" style="width:278.25pt;height:209.2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432449521" r:id="rId24"/>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does L &amp; B’s argument look like from the relational point of view?</w:t>
            </w:r>
            <w:r w:rsidR="00045506">
              <w:rPr>
                <w:rFonts w:ascii="Calibri" w:hAnsi="Calibri" w:cs="Calibri"/>
                <w:kern w:val="24"/>
                <w:sz w:val="24"/>
                <w:szCs w:val="24"/>
              </w:rPr>
              <w:t xml:space="preserve"> (move towards it)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Does consciousness in fact do anything?</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color w:val="012D10"/>
                <w:kern w:val="24"/>
                <w:sz w:val="24"/>
                <w:szCs w:val="24"/>
              </w:rPr>
              <w:t xml:space="preserve">Epiphenomenalism: </w:t>
            </w:r>
            <w:r>
              <w:rPr>
                <w:rFonts w:ascii="Calibri" w:hAnsi="Calibri" w:cs="Calibri"/>
                <w:kern w:val="24"/>
                <w:sz w:val="24"/>
                <w:szCs w:val="24"/>
              </w:rPr>
              <w:t>consciousness merely supplies a subjective gloss on top of purely mechanical processes</w:t>
            </w:r>
          </w:p>
          <w:p w:rsidR="00987ADC" w:rsidRPr="00CF4486" w:rsidRDefault="00987ADC" w:rsidP="008248D7">
            <w:pPr>
              <w:autoSpaceDE w:val="0"/>
              <w:autoSpaceDN w:val="0"/>
              <w:adjustRightInd w:val="0"/>
              <w:rPr>
                <w:rFonts w:ascii="Calibri" w:hAnsi="Calibri" w:cs="Calibri"/>
                <w:kern w:val="24"/>
              </w:rPr>
            </w:pPr>
            <w:r>
              <w:rPr>
                <w:rFonts w:ascii="Calibri" w:hAnsi="Calibri" w:cs="Calibri"/>
                <w:kern w:val="24"/>
                <w:sz w:val="24"/>
                <w:szCs w:val="24"/>
              </w:rPr>
              <w:t>*</w:t>
            </w:r>
            <w:r w:rsidR="00CF4486">
              <w:rPr>
                <w:rFonts w:ascii="Calibri" w:hAnsi="Calibri" w:cs="Calibri"/>
                <w:kern w:val="24"/>
                <w:sz w:val="24"/>
                <w:szCs w:val="24"/>
              </w:rPr>
              <w:t xml:space="preserve"> </w:t>
            </w:r>
            <w:r w:rsidR="00CF4486" w:rsidRPr="00CF4486">
              <w:rPr>
                <w:rFonts w:ascii="Calibri" w:hAnsi="Calibri" w:cs="Calibri"/>
                <w:kern w:val="24"/>
              </w:rPr>
              <w:t>Non-action (</w:t>
            </w:r>
            <w:proofErr w:type="spellStart"/>
            <w:r w:rsidR="00CF4486" w:rsidRPr="00CF4486">
              <w:rPr>
                <w:rFonts w:ascii="Calibri" w:hAnsi="Calibri" w:cs="Calibri"/>
                <w:i/>
                <w:iCs/>
                <w:kern w:val="24"/>
              </w:rPr>
              <w:t>wu</w:t>
            </w:r>
            <w:proofErr w:type="spellEnd"/>
            <w:r w:rsidR="00CF4486" w:rsidRPr="00CF4486">
              <w:rPr>
                <w:rFonts w:ascii="Calibri" w:hAnsi="Calibri" w:cs="Calibri"/>
                <w:i/>
                <w:iCs/>
                <w:kern w:val="24"/>
              </w:rPr>
              <w:t xml:space="preserve"> </w:t>
            </w:r>
            <w:proofErr w:type="spellStart"/>
            <w:r w:rsidR="00CF4486" w:rsidRPr="00CF4486">
              <w:rPr>
                <w:rFonts w:ascii="Calibri" w:hAnsi="Calibri" w:cs="Calibri"/>
                <w:i/>
                <w:iCs/>
                <w:kern w:val="24"/>
              </w:rPr>
              <w:t>wei</w:t>
            </w:r>
            <w:proofErr w:type="spellEnd"/>
            <w:r w:rsidR="00CF4486" w:rsidRPr="00CF4486">
              <w:rPr>
                <w:rFonts w:ascii="Calibri" w:hAnsi="Calibri" w:cs="Calibri"/>
                <w:kern w:val="24"/>
              </w:rPr>
              <w:t xml:space="preserve">) is an important principle: </w:t>
            </w:r>
            <w:r w:rsidR="00287EF1" w:rsidRPr="00287EF1">
              <w:rPr>
                <w:rFonts w:ascii="Calibri" w:hAnsi="Calibri" w:cs="Calibri"/>
                <w:kern w:val="24"/>
              </w:rPr>
              <w:t xml:space="preserve">: partly agrees with </w:t>
            </w:r>
            <w:proofErr w:type="spellStart"/>
            <w:r w:rsidR="00287EF1" w:rsidRPr="00287EF1">
              <w:rPr>
                <w:rFonts w:ascii="Calibri" w:hAnsi="Calibri" w:cs="Calibri"/>
                <w:kern w:val="24"/>
              </w:rPr>
              <w:t>epip</w:t>
            </w:r>
            <w:proofErr w:type="spellEnd"/>
            <w:r w:rsidR="00287EF1" w:rsidRPr="00287EF1">
              <w:rPr>
                <w:rFonts w:ascii="Calibri" w:hAnsi="Calibri" w:cs="Calibri"/>
                <w:kern w:val="24"/>
              </w:rPr>
              <w:t xml:space="preserve">, </w:t>
            </w:r>
            <w:r w:rsidR="00287EF1">
              <w:rPr>
                <w:rFonts w:ascii="Calibri" w:hAnsi="Calibri" w:cs="Calibri"/>
                <w:kern w:val="24"/>
              </w:rPr>
              <w:t xml:space="preserve">but </w:t>
            </w:r>
            <w:r w:rsidR="00CF4486" w:rsidRPr="00CF4486">
              <w:rPr>
                <w:rFonts w:ascii="Calibri" w:hAnsi="Calibri" w:cs="Calibri"/>
                <w:kern w:val="24"/>
              </w:rPr>
              <w:t xml:space="preserve">it affirms that we do make a difference, but this is more by being (the relational) than by force (the propositional).  </w:t>
            </w:r>
          </w:p>
          <w:p w:rsidR="00987ADC" w:rsidRDefault="00CF4486" w:rsidP="008248D7">
            <w:pPr>
              <w:autoSpaceDE w:val="0"/>
              <w:autoSpaceDN w:val="0"/>
              <w:adjustRightInd w:val="0"/>
              <w:spacing w:after="0" w:line="240" w:lineRule="auto"/>
            </w:pPr>
            <w:r>
              <w:rPr>
                <w:rFonts w:ascii="Calibri" w:hAnsi="Calibri" w:cs="Calibri"/>
                <w:color w:val="012D10"/>
                <w:kern w:val="24"/>
                <w:sz w:val="24"/>
                <w:szCs w:val="24"/>
              </w:rPr>
              <w:t xml:space="preserve"> </w:t>
            </w:r>
            <w:r w:rsidR="00987ADC">
              <w:rPr>
                <w:rFonts w:ascii="Calibri" w:hAnsi="Calibri" w:cs="Calibri"/>
                <w:color w:val="012D10"/>
                <w:kern w:val="24"/>
                <w:sz w:val="24"/>
                <w:szCs w:val="24"/>
              </w:rPr>
              <w:t xml:space="preserve">(the </w:t>
            </w:r>
            <w:proofErr w:type="spellStart"/>
            <w:r w:rsidR="00987ADC">
              <w:rPr>
                <w:rFonts w:ascii="Calibri" w:hAnsi="Calibri" w:cs="Calibri"/>
                <w:color w:val="012D10"/>
                <w:kern w:val="24"/>
                <w:sz w:val="24"/>
                <w:szCs w:val="24"/>
              </w:rPr>
              <w:t>sein</w:t>
            </w:r>
            <w:proofErr w:type="spellEnd"/>
            <w:r w:rsidR="00987ADC">
              <w:rPr>
                <w:rFonts w:ascii="Calibri" w:hAnsi="Calibri" w:cs="Calibri"/>
                <w:color w:val="012D10"/>
                <w:kern w:val="24"/>
                <w:sz w:val="24"/>
                <w:szCs w:val="24"/>
              </w:rPr>
              <w:t xml:space="preserve"> </w:t>
            </w:r>
            <w:proofErr w:type="spellStart"/>
            <w:r w:rsidR="00987ADC">
              <w:rPr>
                <w:rFonts w:ascii="Calibri" w:hAnsi="Calibri" w:cs="Calibri"/>
                <w:color w:val="012D10"/>
                <w:kern w:val="24"/>
                <w:sz w:val="24"/>
                <w:szCs w:val="24"/>
              </w:rPr>
              <w:t>Sein</w:t>
            </w:r>
            <w:proofErr w:type="spellEnd"/>
            <w:r w:rsidR="00987ADC">
              <w:rPr>
                <w:rFonts w:ascii="Calibri" w:hAnsi="Calibri" w:cs="Calibri"/>
                <w:color w:val="012D10"/>
                <w:kern w:val="24"/>
                <w:sz w:val="24"/>
                <w:szCs w:val="24"/>
              </w:rPr>
              <w:t xml:space="preserve"> </w:t>
            </w:r>
            <w:proofErr w:type="spellStart"/>
            <w:r w:rsidR="00987ADC">
              <w:rPr>
                <w:rFonts w:ascii="Calibri" w:hAnsi="Calibri" w:cs="Calibri"/>
                <w:color w:val="012D10"/>
                <w:kern w:val="24"/>
                <w:sz w:val="24"/>
                <w:szCs w:val="24"/>
              </w:rPr>
              <w:t>Seyn</w:t>
            </w:r>
            <w:proofErr w:type="spellEnd"/>
            <w:r w:rsidR="00987ADC">
              <w:rPr>
                <w:rFonts w:ascii="Calibri" w:hAnsi="Calibri" w:cs="Calibri"/>
                <w:color w:val="012D10"/>
                <w:kern w:val="24"/>
                <w:sz w:val="24"/>
                <w:szCs w:val="24"/>
              </w:rPr>
              <w:t xml:space="preserve"> trap ... B=verb, b=noun)</w:t>
            </w:r>
            <w:r w:rsidR="00553AE4">
              <w:t xml:space="preserve"> </w:t>
            </w:r>
          </w:p>
        </w:tc>
      </w:tr>
      <w:tr w:rsidR="00553AE4" w:rsidTr="008248D7">
        <w:trPr>
          <w:trHeight w:val="4000"/>
        </w:trPr>
        <w:tc>
          <w:tcPr>
            <w:tcW w:w="10740" w:type="dxa"/>
            <w:gridSpan w:val="2"/>
          </w:tcPr>
          <w:p w:rsidR="00553AE4" w:rsidRPr="00CF4486" w:rsidRDefault="00553AE4" w:rsidP="008248D7">
            <w:pPr>
              <w:autoSpaceDE w:val="0"/>
              <w:autoSpaceDN w:val="0"/>
              <w:adjustRightInd w:val="0"/>
              <w:spacing w:after="0" w:line="240" w:lineRule="auto"/>
              <w:rPr>
                <w:rFonts w:ascii="Calibri" w:hAnsi="Calibri" w:cs="Calibri"/>
                <w:color w:val="012D10"/>
                <w:kern w:val="24"/>
                <w:sz w:val="24"/>
                <w:szCs w:val="24"/>
              </w:rPr>
            </w:pPr>
            <w:r>
              <w:rPr>
                <w:rFonts w:ascii="Calibri" w:hAnsi="Calibri" w:cs="Calibri"/>
                <w:color w:val="012D10"/>
                <w:kern w:val="24"/>
                <w:sz w:val="24"/>
                <w:szCs w:val="24"/>
              </w:rPr>
              <w:lastRenderedPageBreak/>
              <w:t>*</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Consciousness is about relationship – with people</w:t>
            </w:r>
            <w:r w:rsidR="00CF4486">
              <w:rPr>
                <w:rFonts w:ascii="Calibri" w:hAnsi="Calibri" w:cs="Calibri"/>
                <w:kern w:val="24"/>
                <w:sz w:val="24"/>
                <w:szCs w:val="24"/>
              </w:rPr>
              <w:t xml:space="preserve">, with other conscious beings, </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with yourself – with your own ideas - with the land, with the sea:  </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Consciousness is about establishing a relationship and standing within it</w:t>
            </w:r>
          </w:p>
          <w:p w:rsidR="00553AE4" w:rsidRDefault="00553AE4" w:rsidP="008248D7">
            <w:pPr>
              <w:autoSpaceDE w:val="0"/>
              <w:autoSpaceDN w:val="0"/>
              <w:adjustRightInd w:val="0"/>
              <w:spacing w:after="0" w:line="240" w:lineRule="auto"/>
              <w:rPr>
                <w:rFonts w:ascii="Calibri" w:hAnsi="Calibri" w:cs="Calibri"/>
                <w:kern w:val="24"/>
                <w:sz w:val="24"/>
                <w:szCs w:val="24"/>
              </w:rPr>
            </w:pP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Relationship (I – Thou) is shared being</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With this in mind, what does spiritual practice tell us about what consciousness does?</w:t>
            </w:r>
          </w:p>
          <w:p w:rsidR="00553AE4" w:rsidRDefault="00553AE4" w:rsidP="008248D7">
            <w:pPr>
              <w:autoSpaceDE w:val="0"/>
              <w:autoSpaceDN w:val="0"/>
              <w:adjustRightInd w:val="0"/>
              <w:spacing w:after="0" w:line="240" w:lineRule="auto"/>
              <w:rPr>
                <w:rFonts w:ascii="Calibri" w:hAnsi="Calibri" w:cs="Calibri"/>
                <w:kern w:val="24"/>
                <w:sz w:val="24"/>
                <w:szCs w:val="24"/>
              </w:rPr>
            </w:pPr>
          </w:p>
          <w:p w:rsidR="00553AE4" w:rsidRDefault="00553AE4" w:rsidP="008248D7">
            <w:pPr>
              <w:autoSpaceDE w:val="0"/>
              <w:autoSpaceDN w:val="0"/>
              <w:adjustRightInd w:val="0"/>
              <w:spacing w:after="0" w:line="240" w:lineRule="auto"/>
              <w:rPr>
                <w:rFonts w:ascii="Calibri" w:hAnsi="Calibri" w:cs="Calibri"/>
                <w:color w:val="012D10"/>
                <w:kern w:val="24"/>
                <w:sz w:val="24"/>
                <w:szCs w:val="24"/>
              </w:rPr>
            </w:pPr>
            <w:r>
              <w:rPr>
                <w:rFonts w:ascii="Calibri" w:hAnsi="Calibri" w:cs="Calibri"/>
                <w:color w:val="012D10"/>
                <w:kern w:val="24"/>
                <w:sz w:val="24"/>
                <w:szCs w:val="24"/>
              </w:rPr>
              <w:t>* “Practice” is training for the real thing</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Work – but what does that mean? Revisit Meister Eckhart</w:t>
            </w: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rsidR="00553AE4" w:rsidRP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In other words. Work and being (verb) are identical  - and identical with Being (God)</w:t>
            </w:r>
          </w:p>
          <w:p w:rsidR="00553AE4" w:rsidRDefault="00553AE4" w:rsidP="008248D7">
            <w:pPr>
              <w:autoSpaceDE w:val="0"/>
              <w:autoSpaceDN w:val="0"/>
              <w:adjustRightInd w:val="0"/>
              <w:spacing w:after="0" w:line="240" w:lineRule="auto"/>
              <w:rPr>
                <w:rFonts w:ascii="Calibri" w:hAnsi="Calibri" w:cs="Calibri"/>
                <w:kern w:val="24"/>
                <w:sz w:val="24"/>
                <w:szCs w:val="24"/>
              </w:rPr>
            </w:pPr>
          </w:p>
        </w:tc>
      </w:tr>
      <w:tr w:rsidR="00987ADC" w:rsidTr="008248D7">
        <w:trPr>
          <w:trHeight w:val="4356"/>
        </w:trPr>
        <w:tc>
          <w:tcPr>
            <w:tcW w:w="5778" w:type="dxa"/>
          </w:tcPr>
          <w:p w:rsidR="00987ADC" w:rsidRDefault="00AF3BD2" w:rsidP="008248D7">
            <w:r>
              <w:object w:dxaOrig="7194" w:dyaOrig="5395">
                <v:shape id="_x0000_i1034" type="#_x0000_t75" style="width:282pt;height:21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432449522" r:id="rId26"/>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How is this to be modelled in propositional terms?</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Need first to know what beings are conscious, and in order to do that need some QM</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 QM:  Digression on entanglement: * Two systems are entangled * (As  Albert remarked ... )</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 Many entanglements ...    Entangled ball</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pPr>
          </w:p>
        </w:tc>
      </w:tr>
      <w:tr w:rsidR="00987ADC" w:rsidTr="008248D7">
        <w:trPr>
          <w:trHeight w:val="4000"/>
        </w:trPr>
        <w:tc>
          <w:tcPr>
            <w:tcW w:w="5778" w:type="dxa"/>
          </w:tcPr>
          <w:p w:rsidR="00987ADC" w:rsidRDefault="00AF3BD2" w:rsidP="008248D7">
            <w:r>
              <w:object w:dxaOrig="7194" w:dyaOrig="5395">
                <v:shape id="_x0000_i1035" type="#_x0000_t75" style="width:281.25pt;height:210.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5" DrawAspect="Content" ObjectID="_1432449523" r:id="rId28"/>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Now return what beings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Speculative, in sense the (though there is a clear intellectual structure) there is no concrete evidence</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Consciousness, in the sense used here, isn’t about cleverness – it’s about autonomous being – something being for itself.</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So there is really no lower limit of sophistication regarding what can be conscious and what not – a principle of pan-</w:t>
            </w:r>
            <w:proofErr w:type="spellStart"/>
            <w:r>
              <w:rPr>
                <w:rFonts w:ascii="Calibri" w:hAnsi="Calibri" w:cs="Calibri"/>
                <w:kern w:val="24"/>
                <w:sz w:val="24"/>
                <w:szCs w:val="24"/>
              </w:rPr>
              <w:t>psychism</w:t>
            </w:r>
            <w:proofErr w:type="spellEnd"/>
            <w:r>
              <w:rPr>
                <w:rFonts w:ascii="Calibri" w:hAnsi="Calibri" w:cs="Calibri"/>
                <w:kern w:val="24"/>
                <w:sz w:val="24"/>
                <w:szCs w:val="24"/>
              </w:rPr>
              <w:t xml:space="preserve"> –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etc  </w:t>
            </w:r>
          </w:p>
          <w:p w:rsidR="00987ADC" w:rsidRDefault="00987ADC" w:rsidP="008248D7">
            <w:pPr>
              <w:autoSpaceDE w:val="0"/>
              <w:autoSpaceDN w:val="0"/>
              <w:adjustRightInd w:val="0"/>
              <w:spacing w:after="0" w:line="240" w:lineRule="auto"/>
            </w:pPr>
          </w:p>
        </w:tc>
      </w:tr>
      <w:tr w:rsidR="00553AE4" w:rsidTr="008248D7">
        <w:trPr>
          <w:trHeight w:val="1633"/>
        </w:trPr>
        <w:tc>
          <w:tcPr>
            <w:tcW w:w="10740" w:type="dxa"/>
            <w:gridSpan w:val="2"/>
          </w:tcPr>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Nesting allows us to enter into relationship – a shared being – with Oak trees</w:t>
            </w:r>
          </w:p>
          <w:p w:rsidR="00553AE4" w:rsidRDefault="00553AE4" w:rsidP="008248D7">
            <w:pPr>
              <w:autoSpaceDE w:val="0"/>
              <w:autoSpaceDN w:val="0"/>
              <w:adjustRightInd w:val="0"/>
              <w:spacing w:after="0" w:line="240" w:lineRule="auto"/>
              <w:rPr>
                <w:rFonts w:ascii="Calibri" w:hAnsi="Calibri" w:cs="Calibri"/>
                <w:kern w:val="24"/>
                <w:sz w:val="24"/>
                <w:szCs w:val="24"/>
              </w:rPr>
            </w:pP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“The Big Bang”</w:t>
            </w:r>
          </w:p>
          <w:p w:rsidR="00553AE4" w:rsidRDefault="00553AE4" w:rsidP="008248D7">
            <w:pPr>
              <w:autoSpaceDE w:val="0"/>
              <w:autoSpaceDN w:val="0"/>
              <w:adjustRightInd w:val="0"/>
              <w:spacing w:after="0" w:line="240" w:lineRule="auto"/>
              <w:rPr>
                <w:rFonts w:ascii="Calibri" w:hAnsi="Calibri" w:cs="Calibri"/>
                <w:kern w:val="24"/>
                <w:sz w:val="24"/>
                <w:szCs w:val="24"/>
              </w:rPr>
            </w:pPr>
          </w:p>
          <w:p w:rsidR="00553AE4" w:rsidRDefault="00553AE4"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Further consequences of “pan”: * Overlaps -  consequence is “nesting”</w:t>
            </w:r>
          </w:p>
        </w:tc>
      </w:tr>
      <w:tr w:rsidR="00987ADC" w:rsidTr="008248D7">
        <w:trPr>
          <w:trHeight w:val="4000"/>
        </w:trPr>
        <w:tc>
          <w:tcPr>
            <w:tcW w:w="5778" w:type="dxa"/>
          </w:tcPr>
          <w:p w:rsidR="00987ADC" w:rsidRDefault="00AF3BD2" w:rsidP="008248D7">
            <w:r>
              <w:object w:dxaOrig="7194" w:dyaOrig="5395">
                <v:shape id="_x0000_i1036" type="#_x0000_t75" style="width:278.25pt;height:209.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432449524" r:id="rId30"/>
              </w:object>
            </w:r>
          </w:p>
        </w:tc>
        <w:tc>
          <w:tcPr>
            <w:tcW w:w="4962" w:type="dxa"/>
          </w:tcPr>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Can now return to the question, what does consciousness do?</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 Conatus via “assertion” (Zeno effect)</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That’s another story</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  </w:t>
            </w:r>
          </w:p>
          <w:p w:rsidR="00987ADC" w:rsidRDefault="00987ADC" w:rsidP="008248D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All that’s left is to  *</w:t>
            </w:r>
          </w:p>
          <w:p w:rsidR="00987ADC" w:rsidRDefault="00987ADC" w:rsidP="008248D7">
            <w:pPr>
              <w:autoSpaceDE w:val="0"/>
              <w:autoSpaceDN w:val="0"/>
              <w:adjustRightInd w:val="0"/>
              <w:spacing w:after="0" w:line="240" w:lineRule="auto"/>
              <w:rPr>
                <w:rFonts w:ascii="Calibri" w:hAnsi="Calibri" w:cs="Calibri"/>
                <w:kern w:val="24"/>
                <w:sz w:val="24"/>
                <w:szCs w:val="24"/>
              </w:rPr>
            </w:pPr>
          </w:p>
          <w:p w:rsidR="00987ADC" w:rsidRDefault="00987ADC" w:rsidP="008248D7">
            <w:pPr>
              <w:autoSpaceDE w:val="0"/>
              <w:autoSpaceDN w:val="0"/>
              <w:adjustRightInd w:val="0"/>
              <w:spacing w:after="0" w:line="240" w:lineRule="auto"/>
              <w:rPr>
                <w:rFonts w:ascii="Arial" w:hAnsi="Arial" w:cs="Arial"/>
                <w:sz w:val="24"/>
                <w:szCs w:val="24"/>
              </w:rPr>
            </w:pPr>
          </w:p>
          <w:p w:rsidR="00987ADC" w:rsidRDefault="00987ADC" w:rsidP="008248D7"/>
        </w:tc>
      </w:tr>
    </w:tbl>
    <w:p w:rsidR="00B8437A" w:rsidRDefault="00B8437A" w:rsidP="00AF3BD2"/>
    <w:sectPr w:rsidR="00B8437A" w:rsidSect="00796CB0">
      <w:footerReference w:type="default" r:id="rId31"/>
      <w:pgSz w:w="11906" w:h="16838" w:code="9"/>
      <w:pgMar w:top="567" w:right="567" w:bottom="567" w:left="567"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4E2" w:rsidRDefault="005424E2" w:rsidP="00796CB0">
      <w:pPr>
        <w:spacing w:after="0" w:line="240" w:lineRule="auto"/>
      </w:pPr>
      <w:r>
        <w:separator/>
      </w:r>
    </w:p>
  </w:endnote>
  <w:endnote w:type="continuationSeparator" w:id="0">
    <w:p w:rsidR="005424E2" w:rsidRDefault="005424E2" w:rsidP="00796C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8006"/>
      <w:docPartObj>
        <w:docPartGallery w:val="Page Numbers (Bottom of Page)"/>
        <w:docPartUnique/>
      </w:docPartObj>
    </w:sdtPr>
    <w:sdtContent>
      <w:p w:rsidR="00796CB0" w:rsidRDefault="00D7330C">
        <w:pPr>
          <w:pStyle w:val="Footer"/>
        </w:pPr>
        <w:fldSimple w:instr=" PAGE   \* MERGEFORMAT ">
          <w:r w:rsidR="008248D7">
            <w:rPr>
              <w:noProof/>
            </w:rPr>
            <w:t>1</w:t>
          </w:r>
        </w:fldSimple>
      </w:p>
    </w:sdtContent>
  </w:sdt>
  <w:p w:rsidR="00796CB0" w:rsidRDefault="00796C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4E2" w:rsidRDefault="005424E2" w:rsidP="00796CB0">
      <w:pPr>
        <w:spacing w:after="0" w:line="240" w:lineRule="auto"/>
      </w:pPr>
      <w:r>
        <w:separator/>
      </w:r>
    </w:p>
  </w:footnote>
  <w:footnote w:type="continuationSeparator" w:id="0">
    <w:p w:rsidR="005424E2" w:rsidRDefault="005424E2" w:rsidP="00796C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4CE162"/>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hint="default"/>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7170">
      <o:colormenu v:ext="edit" strokecolor="none"/>
    </o:shapedefaults>
  </w:hdrShapeDefaults>
  <w:footnotePr>
    <w:footnote w:id="-1"/>
    <w:footnote w:id="0"/>
  </w:footnotePr>
  <w:endnotePr>
    <w:endnote w:id="-1"/>
    <w:endnote w:id="0"/>
  </w:endnotePr>
  <w:compat/>
  <w:rsids>
    <w:rsidRoot w:val="00987ADC"/>
    <w:rsid w:val="0000337F"/>
    <w:rsid w:val="00045506"/>
    <w:rsid w:val="000B5A39"/>
    <w:rsid w:val="000E61E4"/>
    <w:rsid w:val="001A50D6"/>
    <w:rsid w:val="00287EF1"/>
    <w:rsid w:val="002C36AE"/>
    <w:rsid w:val="003C181E"/>
    <w:rsid w:val="005424E2"/>
    <w:rsid w:val="00553AE4"/>
    <w:rsid w:val="00766B90"/>
    <w:rsid w:val="00796CB0"/>
    <w:rsid w:val="008248D7"/>
    <w:rsid w:val="0089781B"/>
    <w:rsid w:val="00987ADC"/>
    <w:rsid w:val="00A47C51"/>
    <w:rsid w:val="00AF3BD2"/>
    <w:rsid w:val="00B5566B"/>
    <w:rsid w:val="00B8437A"/>
    <w:rsid w:val="00CF4486"/>
    <w:rsid w:val="00D7330C"/>
    <w:rsid w:val="00EF2E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3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44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796CB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6CB0"/>
  </w:style>
  <w:style w:type="paragraph" w:styleId="Footer">
    <w:name w:val="footer"/>
    <w:basedOn w:val="Normal"/>
    <w:link w:val="FooterChar"/>
    <w:uiPriority w:val="99"/>
    <w:unhideWhenUsed/>
    <w:rsid w:val="00796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CB0"/>
  </w:style>
</w:styles>
</file>

<file path=word/webSettings.xml><?xml version="1.0" encoding="utf-8"?>
<w:webSettings xmlns:r="http://schemas.openxmlformats.org/officeDocument/2006/relationships" xmlns:w="http://schemas.openxmlformats.org/wordprocessingml/2006/main">
  <w:divs>
    <w:div w:id="40175121">
      <w:bodyDiv w:val="1"/>
      <w:marLeft w:val="0"/>
      <w:marRight w:val="0"/>
      <w:marTop w:val="0"/>
      <w:marBottom w:val="0"/>
      <w:divBdr>
        <w:top w:val="none" w:sz="0" w:space="0" w:color="auto"/>
        <w:left w:val="none" w:sz="0" w:space="0" w:color="auto"/>
        <w:bottom w:val="none" w:sz="0" w:space="0" w:color="auto"/>
        <w:right w:val="none" w:sz="0" w:space="0" w:color="auto"/>
      </w:divBdr>
    </w:div>
    <w:div w:id="30751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13" Type="http://schemas.openxmlformats.org/officeDocument/2006/relationships/image" Target="media/image4.emf"/><Relationship Id="rId18" Type="http://schemas.openxmlformats.org/officeDocument/2006/relationships/package" Target="embeddings/Microsoft_Office_PowerPoint_Slide6.sldx"/><Relationship Id="rId26" Type="http://schemas.openxmlformats.org/officeDocument/2006/relationships/package" Target="embeddings/Microsoft_Office_PowerPoint_Slide10.sld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_Slide5.sldx"/><Relationship Id="rId20" Type="http://schemas.openxmlformats.org/officeDocument/2006/relationships/package" Target="embeddings/Microsoft_Office_PowerPoint_Slide7.sld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Slide9.sldx"/><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Slide11.sldx"/><Relationship Id="rId10" Type="http://schemas.openxmlformats.org/officeDocument/2006/relationships/package" Target="embeddings/Microsoft_Office_PowerPoint_Slide2.sld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Slide4.sldx"/><Relationship Id="rId22" Type="http://schemas.openxmlformats.org/officeDocument/2006/relationships/package" Target="embeddings/Microsoft_Office_PowerPoint_Slide8.sldx"/><Relationship Id="rId27" Type="http://schemas.openxmlformats.org/officeDocument/2006/relationships/image" Target="media/image11.emf"/><Relationship Id="rId30" Type="http://schemas.openxmlformats.org/officeDocument/2006/relationships/package" Target="embeddings/Microsoft_Office_PowerPoint_Slide1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1</Pages>
  <Words>1273</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James Seaton Clarke</dc:creator>
  <cp:lastModifiedBy>Christopher James Seaton Clarke</cp:lastModifiedBy>
  <cp:revision>5</cp:revision>
  <cp:lastPrinted>2013-06-11T08:18:00Z</cp:lastPrinted>
  <dcterms:created xsi:type="dcterms:W3CDTF">2013-06-10T07:35:00Z</dcterms:created>
  <dcterms:modified xsi:type="dcterms:W3CDTF">2013-06-11T08:52:00Z</dcterms:modified>
</cp:coreProperties>
</file>